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27DC" w:rsidRPr="000E34AD" w:rsidRDefault="00FD27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D5C5D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27DC" w:rsidRDefault="00FD27D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D27DC" w:rsidRPr="00D66848" w:rsidRDefault="00FD27D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D27DC" w:rsidRDefault="00FD27D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D27DC" w:rsidRDefault="00FD27DC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27DC" w:rsidRDefault="00FD27DC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25304">
        <w:rPr>
          <w:rFonts w:ascii="Times New Roman" w:hAnsi="Times New Roman" w:cs="Times New Roman"/>
          <w:sz w:val="24"/>
          <w:szCs w:val="24"/>
        </w:rPr>
        <w:t>КЗК-</w:t>
      </w:r>
      <w:r w:rsidR="006D5C5D" w:rsidRPr="00D25304">
        <w:rPr>
          <w:rFonts w:ascii="Times New Roman" w:hAnsi="Times New Roman" w:cs="Times New Roman"/>
          <w:sz w:val="24"/>
          <w:szCs w:val="24"/>
        </w:rPr>
        <w:t>650</w:t>
      </w:r>
      <w:r w:rsidR="00674AB3" w:rsidRPr="00D25304">
        <w:rPr>
          <w:rFonts w:ascii="Times New Roman" w:hAnsi="Times New Roman" w:cs="Times New Roman"/>
          <w:sz w:val="24"/>
          <w:szCs w:val="24"/>
        </w:rPr>
        <w:t>/2024</w:t>
      </w:r>
      <w:r w:rsidRPr="00D2530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C5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6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D5C5D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„Христо Ботев“, с. Горно Ботево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96CB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CBD" w:rsidRDefault="00C96CBD" w:rsidP="00C96C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6CBD" w:rsidRDefault="00C96CBD" w:rsidP="00C96CBD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96CBD" w:rsidRDefault="00C96CBD" w:rsidP="00C96C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96CBD" w:rsidRPr="00D25304" w:rsidRDefault="00C96CBD" w:rsidP="00C96CB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96CBD" w:rsidRDefault="00C96CBD" w:rsidP="00C96C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96CBD" w:rsidRDefault="00C96CBD" w:rsidP="00C96CBD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96CBD" w:rsidRDefault="00C96CBD" w:rsidP="00C96C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6CBD" w:rsidRDefault="00C96CBD" w:rsidP="00C96CBD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D25304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доказателствен</w:t>
      </w:r>
      <w:r w:rsidR="00D25304">
        <w:rPr>
          <w:rFonts w:ascii="Times New Roman" w:hAnsi="Times New Roman" w:cs="Times New Roman"/>
          <w:sz w:val="24"/>
          <w:szCs w:val="24"/>
        </w:rPr>
        <w:t>ото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D25304">
        <w:rPr>
          <w:rFonts w:ascii="Times New Roman" w:hAnsi="Times New Roman" w:cs="Times New Roman"/>
          <w:sz w:val="24"/>
          <w:szCs w:val="24"/>
        </w:rPr>
        <w:t xml:space="preserve">е, тъй като считам, че </w:t>
      </w:r>
      <w:r w:rsidR="00D25304" w:rsidRPr="00D25304">
        <w:rPr>
          <w:rFonts w:ascii="Times New Roman" w:hAnsi="Times New Roman" w:cs="Times New Roman"/>
          <w:sz w:val="24"/>
          <w:szCs w:val="24"/>
        </w:rPr>
        <w:t>раз</w:t>
      </w:r>
      <w:r w:rsidR="00D25304">
        <w:rPr>
          <w:rFonts w:ascii="Times New Roman" w:hAnsi="Times New Roman" w:cs="Times New Roman"/>
          <w:sz w:val="24"/>
          <w:szCs w:val="24"/>
        </w:rPr>
        <w:t>гле</w:t>
      </w:r>
      <w:r w:rsidR="00D25304" w:rsidRPr="00D25304">
        <w:rPr>
          <w:rFonts w:ascii="Times New Roman" w:hAnsi="Times New Roman" w:cs="Times New Roman"/>
          <w:sz w:val="24"/>
          <w:szCs w:val="24"/>
        </w:rPr>
        <w:t>ждането на жалбата</w:t>
      </w:r>
      <w:r w:rsidR="00D25304">
        <w:rPr>
          <w:rFonts w:ascii="Times New Roman" w:hAnsi="Times New Roman" w:cs="Times New Roman"/>
          <w:sz w:val="24"/>
          <w:szCs w:val="24"/>
        </w:rPr>
        <w:t>,</w:t>
      </w:r>
      <w:r w:rsidR="00D25304" w:rsidRPr="00D25304">
        <w:rPr>
          <w:rFonts w:ascii="Times New Roman" w:hAnsi="Times New Roman" w:cs="Times New Roman"/>
          <w:sz w:val="24"/>
          <w:szCs w:val="24"/>
        </w:rPr>
        <w:t xml:space="preserve"> която е подадена срещу решението за определяне на изпълнител и</w:t>
      </w:r>
      <w:r w:rsidR="00D25304">
        <w:rPr>
          <w:rFonts w:ascii="Times New Roman" w:hAnsi="Times New Roman" w:cs="Times New Roman"/>
          <w:sz w:val="24"/>
          <w:szCs w:val="24"/>
        </w:rPr>
        <w:t xml:space="preserve">ма обуславящо </w:t>
      </w:r>
      <w:r w:rsidR="00D25304" w:rsidRPr="00D25304">
        <w:rPr>
          <w:rFonts w:ascii="Times New Roman" w:hAnsi="Times New Roman" w:cs="Times New Roman"/>
          <w:sz w:val="24"/>
          <w:szCs w:val="24"/>
        </w:rPr>
        <w:t>значение</w:t>
      </w:r>
      <w:r w:rsidR="00D25304">
        <w:rPr>
          <w:rFonts w:ascii="Times New Roman" w:hAnsi="Times New Roman" w:cs="Times New Roman"/>
          <w:sz w:val="24"/>
          <w:szCs w:val="24"/>
        </w:rPr>
        <w:t>.</w:t>
      </w:r>
    </w:p>
    <w:p w:rsidR="00D25304" w:rsidRDefault="00D25304" w:rsidP="00D25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5304" w:rsidRPr="00D25304" w:rsidRDefault="00D25304" w:rsidP="00D25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25304">
        <w:rPr>
          <w:rFonts w:ascii="Times New Roman" w:hAnsi="Times New Roman" w:cs="Times New Roman"/>
          <w:sz w:val="24"/>
          <w:szCs w:val="24"/>
        </w:rPr>
        <w:t xml:space="preserve">Направено от страна на жалбоподателя доказателствено искане за присъединяване и обединяване на производството по настоящата жалба с производството по преписка № КЗК-594/2024 г., образувано по жалба срещу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25304">
        <w:rPr>
          <w:rFonts w:ascii="Times New Roman" w:hAnsi="Times New Roman" w:cs="Times New Roman"/>
          <w:sz w:val="24"/>
          <w:szCs w:val="24"/>
        </w:rPr>
        <w:t xml:space="preserve">ешение от 19.06.2024 г. на възложителя за определяне на изпълнител в обществената поръчка, КЗК приема за неоснователно и недопустимо, доколкото настоящия случай попада в хипотезата на разпоредбата на  чл. 206, ал. 2, във връзка с чл. 206, ал. 1 от ЗОП, понеже изходът на производството по преписка № КЗК-650 от 2024 г., с предмет на спора  законосъобразността на решението за прекратяване на процедурата ще се отрази пряко върху разглеждането по същество на жалбата предявена срещу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25304">
        <w:rPr>
          <w:rFonts w:ascii="Times New Roman" w:hAnsi="Times New Roman" w:cs="Times New Roman"/>
          <w:sz w:val="24"/>
          <w:szCs w:val="24"/>
        </w:rPr>
        <w:t xml:space="preserve">ешението на възложителя по същата възлагателна процедура  за определяне на изпълнител. При наличие на висящо  производство срещу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25304">
        <w:rPr>
          <w:rFonts w:ascii="Times New Roman" w:hAnsi="Times New Roman" w:cs="Times New Roman"/>
          <w:sz w:val="24"/>
          <w:szCs w:val="24"/>
        </w:rPr>
        <w:t>ешение по чл. 22, ал. 1 от ЗОП или действие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5304">
        <w:rPr>
          <w:rFonts w:ascii="Times New Roman" w:hAnsi="Times New Roman" w:cs="Times New Roman"/>
          <w:sz w:val="24"/>
          <w:szCs w:val="24"/>
        </w:rPr>
        <w:t xml:space="preserve">респ. бездействие на възложителя, изрично нормата на  чл. 206, ал. 2 от ЗОП разпорежда  КЗК да спре производството образувано срещу решението, чийто спор за законосъобразност е обусловен от изхода на </w:t>
      </w:r>
      <w:proofErr w:type="spellStart"/>
      <w:r w:rsidRPr="00D25304">
        <w:rPr>
          <w:rFonts w:ascii="Times New Roman" w:hAnsi="Times New Roman" w:cs="Times New Roman"/>
          <w:sz w:val="24"/>
          <w:szCs w:val="24"/>
        </w:rPr>
        <w:t>преюдициалното</w:t>
      </w:r>
      <w:proofErr w:type="spellEnd"/>
      <w:r w:rsidRPr="00D25304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5304">
        <w:rPr>
          <w:rFonts w:ascii="Times New Roman" w:hAnsi="Times New Roman" w:cs="Times New Roman"/>
          <w:sz w:val="24"/>
          <w:szCs w:val="24"/>
        </w:rPr>
        <w:t xml:space="preserve"> т.е. ще има значение за правилното решаване на спора. В тази връзка КЗК е постановила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25304">
        <w:rPr>
          <w:rFonts w:ascii="Times New Roman" w:hAnsi="Times New Roman" w:cs="Times New Roman"/>
          <w:sz w:val="24"/>
          <w:szCs w:val="24"/>
        </w:rPr>
        <w:t>пределение за спиране на производството по преписка № КЗК-594 от 2024г. Предвид изложеното, КЗК</w:t>
      </w:r>
    </w:p>
    <w:p w:rsidR="00D25304" w:rsidRDefault="00D25304" w:rsidP="00FD27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5304" w:rsidRDefault="00D25304" w:rsidP="00D2530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27DC" w:rsidRDefault="00D25304" w:rsidP="00D25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304">
        <w:rPr>
          <w:rFonts w:ascii="Times New Roman" w:hAnsi="Times New Roman" w:cs="Times New Roman"/>
          <w:sz w:val="24"/>
          <w:szCs w:val="24"/>
        </w:rPr>
        <w:t>Оставя без уважение направеното от „МАРБЪЛ СТРОЙ“ ЕООД искане за присъединяване  на преписка № КЗК-594/2024</w:t>
      </w:r>
      <w:r w:rsidR="00FD27DC">
        <w:rPr>
          <w:rFonts w:ascii="Times New Roman" w:hAnsi="Times New Roman" w:cs="Times New Roman"/>
          <w:sz w:val="24"/>
          <w:szCs w:val="24"/>
        </w:rPr>
        <w:t xml:space="preserve"> </w:t>
      </w:r>
      <w:r w:rsidRPr="00D25304">
        <w:rPr>
          <w:rFonts w:ascii="Times New Roman" w:hAnsi="Times New Roman" w:cs="Times New Roman"/>
          <w:sz w:val="24"/>
          <w:szCs w:val="24"/>
        </w:rPr>
        <w:t xml:space="preserve">г. към настоящото производство по преписка № КЗК-650 от 2024 г. </w:t>
      </w:r>
    </w:p>
    <w:p w:rsidR="00FD27DC" w:rsidRDefault="00FD27DC" w:rsidP="00D25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96CBD" w:rsidRDefault="00C96CBD" w:rsidP="00C96C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6CBD" w:rsidRDefault="00C96CBD" w:rsidP="00C96CB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D27DC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27DC" w:rsidRPr="00FD27DC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</w:t>
      </w:r>
      <w:r w:rsidR="00FD27DC">
        <w:rPr>
          <w:rFonts w:ascii="Times New Roman" w:hAnsi="Times New Roman" w:cs="Times New Roman"/>
          <w:sz w:val="24"/>
          <w:szCs w:val="24"/>
        </w:rPr>
        <w:t>,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с което уважите подадената жа</w:t>
      </w:r>
      <w:r w:rsidR="00FD27DC">
        <w:rPr>
          <w:rFonts w:ascii="Times New Roman" w:hAnsi="Times New Roman" w:cs="Times New Roman"/>
          <w:sz w:val="24"/>
          <w:szCs w:val="24"/>
        </w:rPr>
        <w:t>л</w:t>
      </w:r>
      <w:r w:rsidR="00FD27DC" w:rsidRPr="00FD27DC">
        <w:rPr>
          <w:rFonts w:ascii="Times New Roman" w:hAnsi="Times New Roman" w:cs="Times New Roman"/>
          <w:sz w:val="24"/>
          <w:szCs w:val="24"/>
        </w:rPr>
        <w:t>ба</w:t>
      </w:r>
      <w:r w:rsidR="00FD27DC">
        <w:rPr>
          <w:rFonts w:ascii="Times New Roman" w:hAnsi="Times New Roman" w:cs="Times New Roman"/>
          <w:sz w:val="24"/>
          <w:szCs w:val="24"/>
        </w:rPr>
        <w:t>,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FD27DC">
        <w:rPr>
          <w:rFonts w:ascii="Times New Roman" w:hAnsi="Times New Roman" w:cs="Times New Roman"/>
          <w:sz w:val="24"/>
          <w:szCs w:val="24"/>
        </w:rPr>
        <w:t>а и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доказано п</w:t>
      </w:r>
      <w:r w:rsidR="00FD27DC">
        <w:rPr>
          <w:rFonts w:ascii="Times New Roman" w:hAnsi="Times New Roman" w:cs="Times New Roman"/>
          <w:sz w:val="24"/>
          <w:szCs w:val="24"/>
        </w:rPr>
        <w:t>о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FD27DC">
        <w:rPr>
          <w:rFonts w:ascii="Times New Roman" w:hAnsi="Times New Roman" w:cs="Times New Roman"/>
          <w:sz w:val="24"/>
          <w:szCs w:val="24"/>
        </w:rPr>
        <w:t>ята,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FD27DC">
        <w:rPr>
          <w:rFonts w:ascii="Times New Roman" w:hAnsi="Times New Roman" w:cs="Times New Roman"/>
          <w:sz w:val="24"/>
          <w:szCs w:val="24"/>
        </w:rPr>
        <w:t>.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В настоящата молба с оглед изхода на спира претендирам да н</w:t>
      </w:r>
      <w:r w:rsidR="00FD27DC">
        <w:rPr>
          <w:rFonts w:ascii="Times New Roman" w:hAnsi="Times New Roman" w:cs="Times New Roman"/>
          <w:sz w:val="24"/>
          <w:szCs w:val="24"/>
        </w:rPr>
        <w:t xml:space="preserve">и бъдат </w:t>
      </w:r>
      <w:r w:rsidR="00FD27DC" w:rsidRPr="00FD27DC">
        <w:rPr>
          <w:rFonts w:ascii="Times New Roman" w:hAnsi="Times New Roman" w:cs="Times New Roman"/>
          <w:sz w:val="24"/>
          <w:szCs w:val="24"/>
        </w:rPr>
        <w:t>пр</w:t>
      </w:r>
      <w:r w:rsidR="00FD27DC">
        <w:rPr>
          <w:rFonts w:ascii="Times New Roman" w:hAnsi="Times New Roman" w:cs="Times New Roman"/>
          <w:sz w:val="24"/>
          <w:szCs w:val="24"/>
        </w:rPr>
        <w:t xml:space="preserve">исъдени </w:t>
      </w:r>
      <w:r w:rsidR="00FD27DC" w:rsidRPr="00FD27DC">
        <w:rPr>
          <w:rFonts w:ascii="Times New Roman" w:hAnsi="Times New Roman" w:cs="Times New Roman"/>
          <w:sz w:val="24"/>
          <w:szCs w:val="24"/>
        </w:rPr>
        <w:t>направените разноски и п</w:t>
      </w:r>
      <w:r w:rsidR="00FD27DC">
        <w:rPr>
          <w:rFonts w:ascii="Times New Roman" w:hAnsi="Times New Roman" w:cs="Times New Roman"/>
          <w:sz w:val="24"/>
          <w:szCs w:val="24"/>
        </w:rPr>
        <w:t>рила</w:t>
      </w:r>
      <w:r w:rsidR="00FD27DC" w:rsidRPr="00FD27DC">
        <w:rPr>
          <w:rFonts w:ascii="Times New Roman" w:hAnsi="Times New Roman" w:cs="Times New Roman"/>
          <w:sz w:val="24"/>
          <w:szCs w:val="24"/>
        </w:rPr>
        <w:t>гам списък на разноските</w:t>
      </w:r>
      <w:r w:rsidR="00FD27DC">
        <w:rPr>
          <w:rFonts w:ascii="Times New Roman" w:hAnsi="Times New Roman" w:cs="Times New Roman"/>
          <w:sz w:val="24"/>
          <w:szCs w:val="24"/>
        </w:rPr>
        <w:t xml:space="preserve">, </w:t>
      </w:r>
      <w:r w:rsidR="00FD27DC" w:rsidRPr="00FD27DC">
        <w:rPr>
          <w:rFonts w:ascii="Times New Roman" w:hAnsi="Times New Roman" w:cs="Times New Roman"/>
          <w:sz w:val="24"/>
          <w:szCs w:val="24"/>
        </w:rPr>
        <w:t>като в случа</w:t>
      </w:r>
      <w:r w:rsidR="00FD27DC">
        <w:rPr>
          <w:rFonts w:ascii="Times New Roman" w:hAnsi="Times New Roman" w:cs="Times New Roman"/>
          <w:sz w:val="24"/>
          <w:szCs w:val="24"/>
        </w:rPr>
        <w:t>й,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че от страна на въз</w:t>
      </w:r>
      <w:r w:rsidR="00FD27DC">
        <w:rPr>
          <w:rFonts w:ascii="Times New Roman" w:hAnsi="Times New Roman" w:cs="Times New Roman"/>
          <w:sz w:val="24"/>
          <w:szCs w:val="24"/>
        </w:rPr>
        <w:t>ложителя са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направени ис</w:t>
      </w:r>
      <w:r w:rsidR="00FD27DC">
        <w:rPr>
          <w:rFonts w:ascii="Times New Roman" w:hAnsi="Times New Roman" w:cs="Times New Roman"/>
          <w:sz w:val="24"/>
          <w:szCs w:val="24"/>
        </w:rPr>
        <w:t>ка</w:t>
      </w:r>
      <w:r w:rsidR="00FD27DC" w:rsidRPr="00FD27DC">
        <w:rPr>
          <w:rFonts w:ascii="Times New Roman" w:hAnsi="Times New Roman" w:cs="Times New Roman"/>
          <w:sz w:val="24"/>
          <w:szCs w:val="24"/>
        </w:rPr>
        <w:t>ния за разноски</w:t>
      </w:r>
      <w:r w:rsidR="00FD27DC">
        <w:rPr>
          <w:rFonts w:ascii="Times New Roman" w:hAnsi="Times New Roman" w:cs="Times New Roman"/>
          <w:sz w:val="24"/>
          <w:szCs w:val="24"/>
        </w:rPr>
        <w:t>,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заявява</w:t>
      </w:r>
      <w:r w:rsidR="00FD27DC">
        <w:rPr>
          <w:rFonts w:ascii="Times New Roman" w:hAnsi="Times New Roman" w:cs="Times New Roman"/>
          <w:sz w:val="24"/>
          <w:szCs w:val="24"/>
        </w:rPr>
        <w:t>м,</w:t>
      </w:r>
      <w:r w:rsidR="00FD27DC" w:rsidRPr="00FD27DC">
        <w:rPr>
          <w:rFonts w:ascii="Times New Roman" w:hAnsi="Times New Roman" w:cs="Times New Roman"/>
          <w:sz w:val="24"/>
          <w:szCs w:val="24"/>
        </w:rPr>
        <w:t xml:space="preserve"> че ги оспорвам поради прекомерност.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DEC" w:rsidRDefault="00490DEC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DEC" w:rsidRDefault="00490DEC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DEC" w:rsidRDefault="00490DEC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96CBD" w:rsidRDefault="00C96CBD" w:rsidP="00C96C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6CBD" w:rsidRDefault="00C96CBD" w:rsidP="00C96CB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96CBD" w:rsidRDefault="00C96CBD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DEC" w:rsidRDefault="00490DEC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DEC" w:rsidRDefault="00490DEC" w:rsidP="00C96C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96CBD" w:rsidRDefault="00C96CBD" w:rsidP="00C96C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90DEC" w:rsidRDefault="00490DEC" w:rsidP="00C96CB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6CBD" w:rsidRDefault="00C96CBD" w:rsidP="00C96C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96CBD" w:rsidRDefault="00C96CBD" w:rsidP="00C96CB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96CBD" w:rsidRDefault="00C96CBD" w:rsidP="00C96CB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96CBD" w:rsidRDefault="00C96CBD" w:rsidP="00C96CBD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C96CBD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62F" w:rsidRDefault="0094362F">
      <w:pPr>
        <w:spacing w:after="0" w:line="240" w:lineRule="auto"/>
      </w:pPr>
      <w:r>
        <w:separator/>
      </w:r>
    </w:p>
  </w:endnote>
  <w:endnote w:type="continuationSeparator" w:id="0">
    <w:p w:rsidR="0094362F" w:rsidRDefault="00943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D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43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62F" w:rsidRDefault="0094362F">
      <w:pPr>
        <w:spacing w:after="0" w:line="240" w:lineRule="auto"/>
      </w:pPr>
      <w:r>
        <w:separator/>
      </w:r>
    </w:p>
  </w:footnote>
  <w:footnote w:type="continuationSeparator" w:id="0">
    <w:p w:rsidR="0094362F" w:rsidRDefault="00943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A45CE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90DEC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5F72A8"/>
    <w:rsid w:val="006376F0"/>
    <w:rsid w:val="00650E2E"/>
    <w:rsid w:val="00660073"/>
    <w:rsid w:val="00671190"/>
    <w:rsid w:val="00674AB3"/>
    <w:rsid w:val="006756BC"/>
    <w:rsid w:val="00693336"/>
    <w:rsid w:val="006A0E6B"/>
    <w:rsid w:val="006A376A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362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96CBD"/>
    <w:rsid w:val="00CA46AF"/>
    <w:rsid w:val="00CC25B6"/>
    <w:rsid w:val="00D25304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456F1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57225"/>
    <w:rsid w:val="00FB0DFC"/>
    <w:rsid w:val="00FD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71D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555</Words>
  <Characters>3169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2024-09-16T08:18:00Z</dcterms:modified>
</cp:coreProperties>
</file>